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CF0B84B"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3F36DA" w:rsidRPr="003F36DA">
        <w:rPr>
          <w:bCs/>
          <w:noProof w:val="0"/>
          <w:sz w:val="24"/>
          <w:szCs w:val="24"/>
        </w:rPr>
        <w:t>R2-1807681</w:t>
      </w:r>
      <w:bookmarkStart w:id="0" w:name="_GoBack"/>
      <w:bookmarkEnd w:id="0"/>
    </w:p>
    <w:p w14:paraId="231362B2" w14:textId="2557E692" w:rsidR="00CD4C7B" w:rsidRPr="00B266B0" w:rsidRDefault="003F4E28"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2F7236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402B" w:rsidRPr="00FD402B">
        <w:rPr>
          <w:rFonts w:cs="Arial"/>
          <w:b/>
          <w:bCs/>
          <w:sz w:val="24"/>
          <w:lang w:eastAsia="ja-JP"/>
        </w:rPr>
        <w:t>9.14.10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3448C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6AFB">
        <w:rPr>
          <w:rFonts w:ascii="Arial" w:hAnsi="Arial" w:cs="Arial"/>
          <w:b/>
          <w:bCs/>
          <w:sz w:val="24"/>
        </w:rPr>
        <w:t xml:space="preserve">Cell access impact of CRS muting </w:t>
      </w:r>
      <w:r w:rsidR="00616AFB" w:rsidRPr="00616AFB">
        <w:rPr>
          <w:rFonts w:ascii="Arial" w:hAnsi="Arial" w:cs="Arial"/>
          <w:b/>
          <w:bCs/>
          <w:sz w:val="24"/>
        </w:rPr>
        <w:t>in eMTC</w:t>
      </w:r>
    </w:p>
    <w:p w14:paraId="3AC3A0B1" w14:textId="1033BA6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6AFB" w:rsidRPr="00616AFB">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715845E" w:rsidR="00CD4C7B" w:rsidRDefault="00616AFB" w:rsidP="00CD4C7B">
      <w:r>
        <w:t>In the last RAN2#101bis meeting, CRS muting was discussed as per RAN4’s request in LS [1], and following was agreed:</w:t>
      </w:r>
    </w:p>
    <w:p w14:paraId="149E46F9" w14:textId="08C7866B" w:rsidR="00616AFB" w:rsidRPr="00244EB3" w:rsidRDefault="00616AFB" w:rsidP="00244EB3">
      <w:pPr>
        <w:pStyle w:val="ListParagraph"/>
        <w:numPr>
          <w:ilvl w:val="0"/>
          <w:numId w:val="5"/>
        </w:numPr>
        <w:pBdr>
          <w:top w:val="single" w:sz="4" w:space="1" w:color="auto"/>
          <w:left w:val="single" w:sz="4" w:space="4" w:color="auto"/>
          <w:bottom w:val="single" w:sz="4" w:space="1" w:color="auto"/>
          <w:right w:val="single" w:sz="4" w:space="4" w:color="auto"/>
        </w:pBdr>
        <w:ind w:firstLineChars="0"/>
        <w:rPr>
          <w:rFonts w:ascii="Arial" w:hAnsi="Arial" w:cs="Arial"/>
        </w:rPr>
      </w:pPr>
      <w:r w:rsidRPr="00244EB3">
        <w:rPr>
          <w:rFonts w:ascii="Arial" w:hAnsi="Arial" w:cs="Arial"/>
        </w:rPr>
        <w:t>Introduce CRS muting enabling indication for the serving cell in SIB1-BR.</w:t>
      </w:r>
    </w:p>
    <w:p w14:paraId="0E4694BD" w14:textId="3EEC9E8A" w:rsidR="00616AFB" w:rsidRPr="00244EB3" w:rsidRDefault="00616AFB" w:rsidP="00244EB3">
      <w:pPr>
        <w:pStyle w:val="ListParagraph"/>
        <w:numPr>
          <w:ilvl w:val="0"/>
          <w:numId w:val="5"/>
        </w:numPr>
        <w:pBdr>
          <w:top w:val="single" w:sz="4" w:space="1" w:color="auto"/>
          <w:left w:val="single" w:sz="4" w:space="4" w:color="auto"/>
          <w:bottom w:val="single" w:sz="4" w:space="1" w:color="auto"/>
          <w:right w:val="single" w:sz="4" w:space="4" w:color="auto"/>
        </w:pBdr>
        <w:ind w:firstLineChars="0"/>
        <w:rPr>
          <w:rFonts w:ascii="Arial" w:hAnsi="Arial" w:cs="Arial"/>
        </w:rPr>
      </w:pPr>
      <w:r w:rsidRPr="00244EB3">
        <w:rPr>
          <w:rFonts w:ascii="Arial" w:hAnsi="Arial" w:cs="Arial"/>
        </w:rPr>
        <w:t>Serving cell indicates the number of PRBs, i.e. 6 or 24 PRBs, for CRS transmission in the central cell BW in broadcast signalling if CRS muting is enabled. The CRS muting enabling indication is implicit with the indication of number of PRBs for CRS transmission.</w:t>
      </w:r>
    </w:p>
    <w:p w14:paraId="6E020226" w14:textId="2AC7A63F" w:rsidR="00616AFB" w:rsidRPr="00244EB3" w:rsidRDefault="00616AFB" w:rsidP="00244EB3">
      <w:pPr>
        <w:pStyle w:val="ListParagraph"/>
        <w:numPr>
          <w:ilvl w:val="0"/>
          <w:numId w:val="5"/>
        </w:numPr>
        <w:pBdr>
          <w:top w:val="single" w:sz="4" w:space="1" w:color="auto"/>
          <w:left w:val="single" w:sz="4" w:space="4" w:color="auto"/>
          <w:bottom w:val="single" w:sz="4" w:space="1" w:color="auto"/>
          <w:right w:val="single" w:sz="4" w:space="4" w:color="auto"/>
        </w:pBdr>
        <w:ind w:firstLineChars="0"/>
        <w:rPr>
          <w:rFonts w:ascii="Arial" w:hAnsi="Arial" w:cs="Arial"/>
        </w:rPr>
      </w:pPr>
      <w:r w:rsidRPr="00244EB3">
        <w:rPr>
          <w:rFonts w:ascii="Arial" w:hAnsi="Arial" w:cs="Arial"/>
        </w:rPr>
        <w:t>RAN2 assumes that RAN4 will study the impact of CRS muting on neighbour cell measurement.</w:t>
      </w:r>
    </w:p>
    <w:p w14:paraId="43041280" w14:textId="1580362F" w:rsidR="00616AFB" w:rsidRPr="00616AFB" w:rsidRDefault="00244EB3" w:rsidP="00CD4C7B">
      <w:r>
        <w:t>I</w:t>
      </w:r>
      <w:r>
        <w:rPr>
          <w:rFonts w:hint="eastAsia"/>
        </w:rPr>
        <w:t xml:space="preserve">n </w:t>
      </w:r>
      <w:r>
        <w:t>this contribution, we would like to discuss CRS muting’s impact on cell access.</w:t>
      </w:r>
    </w:p>
    <w:p w14:paraId="127ACA6D" w14:textId="574CE303" w:rsidR="00CD4C7B" w:rsidRPr="006E13D1" w:rsidRDefault="00CD4C7B" w:rsidP="00CD4C7B">
      <w:pPr>
        <w:pStyle w:val="Heading1"/>
      </w:pPr>
      <w:r w:rsidRPr="006E13D1">
        <w:t>2</w:t>
      </w:r>
      <w:r w:rsidRPr="006E13D1">
        <w:tab/>
      </w:r>
      <w:r w:rsidR="00244EB3">
        <w:t>Discussion</w:t>
      </w:r>
    </w:p>
    <w:p w14:paraId="5CAD3814" w14:textId="72632075" w:rsidR="00244EB3" w:rsidRDefault="00BF1DAB" w:rsidP="00244EB3">
      <w:r>
        <w:t>According to RAN4’s LS, w</w:t>
      </w:r>
      <w:r w:rsidRPr="00BF1DAB">
        <w:t xml:space="preserve">hen CRS muting is enabled, CRS will be transmitted in central 6 PRBs or 24 PRBs of the cell, depending on network’s strategy. As CRS muting is a cell level feature, it will impact all the UEs who are camping to the cell. </w:t>
      </w:r>
      <w:r>
        <w:t xml:space="preserve">However, </w:t>
      </w:r>
      <w:r w:rsidRPr="00BF1DAB">
        <w:t>for legacy UEs, they always assume CRS is transmitted in the entire bandwidth of the cell. Therefore, even if it is the intention to reduce power consumption with CRS muting, legacy UEs shall not be allowed to access to such cell because it will bring</w:t>
      </w:r>
      <w:r>
        <w:t xml:space="preserve"> </w:t>
      </w:r>
      <w:r w:rsidRPr="00BF1DAB">
        <w:t>performance loss for these UEs in terms of cell PBCH/SI/Paging acquisition, downlink channel measurements, time/frequency tracking, channel estimation for demodulation of PBCH/SI/Paging/PDSCH and CQI estimation</w:t>
      </w:r>
      <w:r w:rsidR="007C03F2">
        <w:t xml:space="preserve"> which are all CRS related</w:t>
      </w:r>
      <w:r w:rsidRPr="00BF1DAB">
        <w:t>.</w:t>
      </w:r>
      <w:r>
        <w:t xml:space="preserve"> Legacy UEs should be barred in this case, e.g. by setting </w:t>
      </w:r>
      <w:r w:rsidRPr="00BF1DAB">
        <w:t xml:space="preserve">the </w:t>
      </w:r>
      <w:r>
        <w:t xml:space="preserve">IE </w:t>
      </w:r>
      <w:r w:rsidRPr="00BF1DAB">
        <w:t xml:space="preserve">cellBarred in SIB1-BR </w:t>
      </w:r>
      <w:r>
        <w:t>with value “</w:t>
      </w:r>
      <w:r w:rsidRPr="00BF1DAB">
        <w:t>barred</w:t>
      </w:r>
      <w:r>
        <w:t>”</w:t>
      </w:r>
      <w:r w:rsidRPr="00BF1DAB">
        <w:t>.</w:t>
      </w:r>
    </w:p>
    <w:p w14:paraId="6A0951AD" w14:textId="480CC367" w:rsidR="00BF1DAB" w:rsidRPr="00BF1DAB" w:rsidRDefault="00BF1DAB" w:rsidP="00244EB3">
      <w:pPr>
        <w:rPr>
          <w:b/>
        </w:rPr>
      </w:pPr>
      <w:r w:rsidRPr="00BF1DAB">
        <w:rPr>
          <w:b/>
        </w:rPr>
        <w:t xml:space="preserve">Proposal 1: </w:t>
      </w:r>
      <w:r w:rsidR="002E4961">
        <w:rPr>
          <w:b/>
        </w:rPr>
        <w:t>L</w:t>
      </w:r>
      <w:r w:rsidRPr="00BF1DAB">
        <w:rPr>
          <w:b/>
        </w:rPr>
        <w:t xml:space="preserve">egacy </w:t>
      </w:r>
      <w:r w:rsidR="007C03F2">
        <w:rPr>
          <w:b/>
        </w:rPr>
        <w:t xml:space="preserve">(i.e. pre-Rel-15) </w:t>
      </w:r>
      <w:r w:rsidRPr="00BF1DAB">
        <w:rPr>
          <w:b/>
        </w:rPr>
        <w:t>UEs should be barred by the cell when CRS muting is enabled</w:t>
      </w:r>
      <w:r w:rsidR="00FD5447">
        <w:rPr>
          <w:b/>
        </w:rPr>
        <w:t>.</w:t>
      </w:r>
    </w:p>
    <w:p w14:paraId="06494322" w14:textId="5ADD3C40" w:rsidR="00CD4C7B" w:rsidRDefault="00BF1DAB" w:rsidP="007C03F2">
      <w:r w:rsidRPr="00BF1DAB">
        <w:t xml:space="preserve">If </w:t>
      </w:r>
      <w:r>
        <w:t>legacy UE</w:t>
      </w:r>
      <w:r w:rsidR="00FD5447">
        <w:t>’</w:t>
      </w:r>
      <w:r>
        <w:t>s barr</w:t>
      </w:r>
      <w:r w:rsidR="007C03F2">
        <w:t>ing is implemented</w:t>
      </w:r>
      <w:r>
        <w:t xml:space="preserve"> by setting</w:t>
      </w:r>
      <w:r w:rsidRPr="00BF1DAB">
        <w:t xml:space="preserve"> the</w:t>
      </w:r>
      <w:r w:rsidR="00685A38">
        <w:t xml:space="preserve"> IE</w:t>
      </w:r>
      <w:r w:rsidRPr="00BF1DAB">
        <w:t xml:space="preserve"> cellBarred in</w:t>
      </w:r>
      <w:r w:rsidR="00685A38">
        <w:t xml:space="preserve"> </w:t>
      </w:r>
      <w:r w:rsidRPr="00BF1DAB">
        <w:t xml:space="preserve">SIB1-BR with value “barred”, </w:t>
      </w:r>
      <w:r w:rsidR="00FD5447">
        <w:t xml:space="preserve">then </w:t>
      </w:r>
      <w:r w:rsidRPr="00BF1DAB">
        <w:t>access for all UEs includin</w:t>
      </w:r>
      <w:r w:rsidR="007C03F2">
        <w:t xml:space="preserve">g Rel-15 CRS muting capable UEs will also be barred, which obviously </w:t>
      </w:r>
      <w:r w:rsidR="00FD5447">
        <w:t xml:space="preserve">should </w:t>
      </w:r>
      <w:r w:rsidR="007C03F2">
        <w:t>not</w:t>
      </w:r>
      <w:r w:rsidR="00FD5447">
        <w:t xml:space="preserve"> be</w:t>
      </w:r>
      <w:r w:rsidR="007C03F2">
        <w:t xml:space="preserve"> the expected behaviour. To </w:t>
      </w:r>
      <w:r w:rsidR="00FD5447">
        <w:t xml:space="preserve">solve this issue, one option is to make the existing IE cellBarred only applicable to legacy UEs and to introduce a new </w:t>
      </w:r>
      <w:r w:rsidR="00B80C9D">
        <w:t>indication</w:t>
      </w:r>
      <w:r w:rsidR="00FD5447">
        <w:t xml:space="preserve">, e.g. named as cellBarred-r15, which will be applicable to Rel-15 UEs. In that case, Rel-15 UE shall first check the new </w:t>
      </w:r>
      <w:r w:rsidR="00B80C9D">
        <w:t>indication</w:t>
      </w:r>
      <w:r w:rsidR="00FD5447">
        <w:t xml:space="preserve"> to see if the cell is barred or not and if not barred,</w:t>
      </w:r>
      <w:r w:rsidR="00B80C9D">
        <w:t xml:space="preserve"> UE shall</w:t>
      </w:r>
      <w:r w:rsidR="00FD5447">
        <w:t xml:space="preserve"> further check its capability against the CRS muting indication to determine </w:t>
      </w:r>
      <w:r w:rsidR="00B80C9D">
        <w:t xml:space="preserve">eventually </w:t>
      </w:r>
      <w:r w:rsidR="00FD5447">
        <w:t>whether the cell</w:t>
      </w:r>
      <w:r w:rsidR="00B80C9D">
        <w:t xml:space="preserve"> </w:t>
      </w:r>
      <w:r w:rsidR="00FD5447">
        <w:t xml:space="preserve">can be accessed or not. </w:t>
      </w:r>
      <w:r w:rsidR="007C03F2">
        <w:t xml:space="preserve"> </w:t>
      </w:r>
    </w:p>
    <w:p w14:paraId="1E3F914B" w14:textId="5F554BE0" w:rsidR="007C03F2" w:rsidRPr="00B80C9D" w:rsidRDefault="00FD5447" w:rsidP="007C03F2">
      <w:pPr>
        <w:rPr>
          <w:b/>
        </w:rPr>
      </w:pPr>
      <w:r w:rsidRPr="00B80C9D">
        <w:rPr>
          <w:b/>
        </w:rPr>
        <w:t>Proposal</w:t>
      </w:r>
      <w:r w:rsidRPr="00B80C9D">
        <w:rPr>
          <w:rFonts w:hint="eastAsia"/>
          <w:b/>
        </w:rPr>
        <w:t xml:space="preserve"> </w:t>
      </w:r>
      <w:r w:rsidRPr="00B80C9D">
        <w:rPr>
          <w:b/>
        </w:rPr>
        <w:t xml:space="preserve">2: </w:t>
      </w:r>
      <w:r w:rsidR="00B80C9D">
        <w:rPr>
          <w:b/>
        </w:rPr>
        <w:t>I</w:t>
      </w:r>
      <w:r w:rsidRPr="00B80C9D">
        <w:rPr>
          <w:b/>
        </w:rPr>
        <w:t>ntroduce a new</w:t>
      </w:r>
      <w:r w:rsidR="00B80C9D" w:rsidRPr="00B80C9D">
        <w:rPr>
          <w:b/>
        </w:rPr>
        <w:t xml:space="preserve"> cell-barred indication</w:t>
      </w:r>
      <w:r w:rsidRPr="00B80C9D">
        <w:rPr>
          <w:b/>
        </w:rPr>
        <w:t xml:space="preserve"> in SIB1-BR</w:t>
      </w:r>
      <w:r w:rsidR="00B80C9D" w:rsidRPr="00B80C9D">
        <w:rPr>
          <w:b/>
        </w:rPr>
        <w:t xml:space="preserve"> for Rel-15 UEs. Rel-15 UEs shall check both the new indication and CRS muting indication to determine whether </w:t>
      </w:r>
      <w:r w:rsidR="00B15A19">
        <w:rPr>
          <w:b/>
        </w:rPr>
        <w:t>they are</w:t>
      </w:r>
      <w:r w:rsidR="00B80C9D" w:rsidRPr="00B80C9D">
        <w:rPr>
          <w:b/>
        </w:rPr>
        <w:t xml:space="preserve"> allowed to access the cell</w:t>
      </w:r>
      <w:r w:rsidR="00B15A19">
        <w:rPr>
          <w:b/>
        </w:rPr>
        <w:t xml:space="preserve"> or not</w:t>
      </w:r>
      <w:r w:rsidR="00B80C9D" w:rsidRPr="00B80C9D">
        <w:rPr>
          <w:b/>
        </w:rPr>
        <w:t>.</w:t>
      </w:r>
    </w:p>
    <w:p w14:paraId="5FA9BA45" w14:textId="77777777" w:rsidR="007C03F2" w:rsidRPr="001C03CE" w:rsidRDefault="007C03F2" w:rsidP="007C03F2"/>
    <w:p w14:paraId="43A12B72" w14:textId="565513F0" w:rsidR="00CD4C7B" w:rsidRPr="006E13D1" w:rsidRDefault="00BF1DAB" w:rsidP="00CD4C7B">
      <w:pPr>
        <w:pStyle w:val="Heading1"/>
      </w:pPr>
      <w:r>
        <w:t>3</w:t>
      </w:r>
      <w:r w:rsidR="00CD4C7B" w:rsidRPr="006E13D1">
        <w:tab/>
      </w:r>
      <w:r>
        <w:t>Conclusion</w:t>
      </w:r>
    </w:p>
    <w:p w14:paraId="190C81D1" w14:textId="2E1141DE" w:rsidR="00CD4C7B" w:rsidRDefault="00B80C9D" w:rsidP="00CD4C7B">
      <w:r>
        <w:t>In this contribution, we discussed the impact of CRS muting on cell access for legacy UEs and Rel-15 UEs, and following proposals were made:</w:t>
      </w:r>
    </w:p>
    <w:p w14:paraId="6718B830" w14:textId="20356C69" w:rsidR="00B80C9D" w:rsidRDefault="00B80C9D" w:rsidP="00CD4C7B">
      <w:pPr>
        <w:rPr>
          <w:b/>
        </w:rPr>
      </w:pPr>
      <w:r w:rsidRPr="00BF1DAB">
        <w:rPr>
          <w:b/>
        </w:rPr>
        <w:t xml:space="preserve">Proposal 1: </w:t>
      </w:r>
      <w:r w:rsidR="002E4961">
        <w:rPr>
          <w:b/>
        </w:rPr>
        <w:t>L</w:t>
      </w:r>
      <w:r w:rsidRPr="00BF1DAB">
        <w:rPr>
          <w:b/>
        </w:rPr>
        <w:t xml:space="preserve">egacy </w:t>
      </w:r>
      <w:r>
        <w:rPr>
          <w:b/>
        </w:rPr>
        <w:t xml:space="preserve">(i.e. pre-Rel-15) </w:t>
      </w:r>
      <w:r w:rsidRPr="00BF1DAB">
        <w:rPr>
          <w:b/>
        </w:rPr>
        <w:t>UEs should be barred by the cell when CRS muting is enabled</w:t>
      </w:r>
      <w:r>
        <w:rPr>
          <w:b/>
        </w:rPr>
        <w:t>.</w:t>
      </w:r>
    </w:p>
    <w:p w14:paraId="3353D3EC" w14:textId="0EE1E468" w:rsidR="00B80C9D" w:rsidRPr="006E13D1" w:rsidRDefault="00B80C9D" w:rsidP="00CD4C7B">
      <w:r w:rsidRPr="00B80C9D">
        <w:rPr>
          <w:b/>
        </w:rPr>
        <w:lastRenderedPageBreak/>
        <w:t>Proposal</w:t>
      </w:r>
      <w:r w:rsidRPr="00B80C9D">
        <w:rPr>
          <w:rFonts w:hint="eastAsia"/>
          <w:b/>
        </w:rPr>
        <w:t xml:space="preserve"> </w:t>
      </w:r>
      <w:r w:rsidRPr="00B80C9D">
        <w:rPr>
          <w:b/>
        </w:rPr>
        <w:t xml:space="preserve">2: </w:t>
      </w:r>
      <w:r>
        <w:rPr>
          <w:b/>
        </w:rPr>
        <w:t>I</w:t>
      </w:r>
      <w:r w:rsidRPr="00B80C9D">
        <w:rPr>
          <w:b/>
        </w:rPr>
        <w:t xml:space="preserve">ntroduce a new cell-barred indication in SIB1-BR for Rel-15 UEs. Rel-15 UEs shall check both the new indication and CRS muting indication to determine whether </w:t>
      </w:r>
      <w:r w:rsidR="00B15A19">
        <w:rPr>
          <w:b/>
        </w:rPr>
        <w:t>they are</w:t>
      </w:r>
      <w:r w:rsidRPr="00B80C9D">
        <w:rPr>
          <w:b/>
        </w:rPr>
        <w:t xml:space="preserve"> allowed to access the cell</w:t>
      </w:r>
      <w:r w:rsidR="00B15A19">
        <w:rPr>
          <w:b/>
        </w:rPr>
        <w:t xml:space="preserve"> or not</w:t>
      </w:r>
      <w:r w:rsidRPr="00B80C9D">
        <w:rPr>
          <w:b/>
        </w:rPr>
        <w:t>.</w:t>
      </w:r>
    </w:p>
    <w:p w14:paraId="0FDCFAC2" w14:textId="77777777" w:rsidR="00CD4C7B" w:rsidRPr="006E13D1" w:rsidRDefault="00CD4C7B" w:rsidP="00CD4C7B">
      <w:pPr>
        <w:pStyle w:val="Heading1"/>
      </w:pPr>
      <w:r w:rsidRPr="006E13D1">
        <w:t>References</w:t>
      </w:r>
    </w:p>
    <w:p w14:paraId="35F222F4" w14:textId="364BBF92" w:rsidR="00080512" w:rsidRPr="00CD4C7B" w:rsidRDefault="00BF1DAB" w:rsidP="00BB61D5">
      <w:pPr>
        <w:pStyle w:val="ListParagraph"/>
        <w:numPr>
          <w:ilvl w:val="0"/>
          <w:numId w:val="4"/>
        </w:numPr>
        <w:ind w:firstLineChars="0"/>
      </w:pPr>
      <w:bookmarkStart w:id="1" w:name="_Ref75086397"/>
      <w:r w:rsidRPr="00BF1DAB">
        <w:t>R4-1803492, LS on signaling CRS muting information for Rel-15 MTC UE, Ericsson</w:t>
      </w:r>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A7235" w14:textId="77777777" w:rsidR="00473FD3" w:rsidRDefault="00473FD3">
      <w:r>
        <w:separator/>
      </w:r>
    </w:p>
  </w:endnote>
  <w:endnote w:type="continuationSeparator" w:id="0">
    <w:p w14:paraId="6B0B5CB4" w14:textId="77777777" w:rsidR="00473FD3" w:rsidRDefault="0047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37777" w14:textId="77777777" w:rsidR="00473FD3" w:rsidRDefault="00473FD3">
      <w:r>
        <w:separator/>
      </w:r>
    </w:p>
  </w:footnote>
  <w:footnote w:type="continuationSeparator" w:id="0">
    <w:p w14:paraId="260EE37F" w14:textId="77777777" w:rsidR="00473FD3" w:rsidRDefault="0047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97B62EE"/>
    <w:multiLevelType w:val="hybridMultilevel"/>
    <w:tmpl w:val="A6EA04EA"/>
    <w:lvl w:ilvl="0" w:tplc="8BA6C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635"/>
    <w:rsid w:val="00090468"/>
    <w:rsid w:val="000B7BCF"/>
    <w:rsid w:val="000C522B"/>
    <w:rsid w:val="000D58AB"/>
    <w:rsid w:val="000F12CC"/>
    <w:rsid w:val="00112F1A"/>
    <w:rsid w:val="00145075"/>
    <w:rsid w:val="001741A0"/>
    <w:rsid w:val="00175FA0"/>
    <w:rsid w:val="00194CD0"/>
    <w:rsid w:val="001B49C9"/>
    <w:rsid w:val="001C03CE"/>
    <w:rsid w:val="001C4F79"/>
    <w:rsid w:val="001F168B"/>
    <w:rsid w:val="001F7831"/>
    <w:rsid w:val="00204045"/>
    <w:rsid w:val="0020712B"/>
    <w:rsid w:val="0022606D"/>
    <w:rsid w:val="00231728"/>
    <w:rsid w:val="00244EB3"/>
    <w:rsid w:val="002747EC"/>
    <w:rsid w:val="002855BF"/>
    <w:rsid w:val="002E4961"/>
    <w:rsid w:val="002F0D22"/>
    <w:rsid w:val="003172DC"/>
    <w:rsid w:val="00325AE3"/>
    <w:rsid w:val="00326069"/>
    <w:rsid w:val="0035462D"/>
    <w:rsid w:val="00364B41"/>
    <w:rsid w:val="003B40AD"/>
    <w:rsid w:val="003C4E37"/>
    <w:rsid w:val="003E16BE"/>
    <w:rsid w:val="003F36DA"/>
    <w:rsid w:val="003F4E28"/>
    <w:rsid w:val="004006E8"/>
    <w:rsid w:val="00401855"/>
    <w:rsid w:val="00473FD3"/>
    <w:rsid w:val="00477455"/>
    <w:rsid w:val="004A1F7B"/>
    <w:rsid w:val="004C44D2"/>
    <w:rsid w:val="004D3578"/>
    <w:rsid w:val="004D380D"/>
    <w:rsid w:val="004E213A"/>
    <w:rsid w:val="00503171"/>
    <w:rsid w:val="00506C28"/>
    <w:rsid w:val="00534DA0"/>
    <w:rsid w:val="00543E6C"/>
    <w:rsid w:val="00565087"/>
    <w:rsid w:val="0056573F"/>
    <w:rsid w:val="005952FB"/>
    <w:rsid w:val="005C6552"/>
    <w:rsid w:val="005D710F"/>
    <w:rsid w:val="00611566"/>
    <w:rsid w:val="00616AFB"/>
    <w:rsid w:val="00646D99"/>
    <w:rsid w:val="00656910"/>
    <w:rsid w:val="00685A38"/>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3F2"/>
    <w:rsid w:val="007C095F"/>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74A6"/>
    <w:rsid w:val="009F059E"/>
    <w:rsid w:val="00A10F02"/>
    <w:rsid w:val="00A204CA"/>
    <w:rsid w:val="00A33C75"/>
    <w:rsid w:val="00A53724"/>
    <w:rsid w:val="00A82346"/>
    <w:rsid w:val="00A9671C"/>
    <w:rsid w:val="00AA1553"/>
    <w:rsid w:val="00B05962"/>
    <w:rsid w:val="00B15449"/>
    <w:rsid w:val="00B15A19"/>
    <w:rsid w:val="00B27303"/>
    <w:rsid w:val="00B47FD1"/>
    <w:rsid w:val="00B516BB"/>
    <w:rsid w:val="00B604E8"/>
    <w:rsid w:val="00B80C9D"/>
    <w:rsid w:val="00BB7913"/>
    <w:rsid w:val="00BC3555"/>
    <w:rsid w:val="00BF1DAB"/>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0D9F"/>
    <w:rsid w:val="00D854BE"/>
    <w:rsid w:val="00D87E00"/>
    <w:rsid w:val="00D9134D"/>
    <w:rsid w:val="00D96D11"/>
    <w:rsid w:val="00DA7A03"/>
    <w:rsid w:val="00DB0DB8"/>
    <w:rsid w:val="00DB1818"/>
    <w:rsid w:val="00DC309B"/>
    <w:rsid w:val="00DC4DA2"/>
    <w:rsid w:val="00E471CF"/>
    <w:rsid w:val="00E62835"/>
    <w:rsid w:val="00E77645"/>
    <w:rsid w:val="00E83697"/>
    <w:rsid w:val="00EA14A3"/>
    <w:rsid w:val="00EB5F2F"/>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B41F0"/>
    <w:rsid w:val="00FC1192"/>
    <w:rsid w:val="00FD402B"/>
    <w:rsid w:val="00FD544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16A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6AFB"/>
    <w:rPr>
      <w:rFonts w:ascii="Arial" w:eastAsia="MS Mincho" w:hAnsi="Arial"/>
      <w:szCs w:val="24"/>
    </w:rPr>
  </w:style>
  <w:style w:type="paragraph" w:styleId="ListParagraph">
    <w:name w:val="List Paragraph"/>
    <w:basedOn w:val="Normal"/>
    <w:uiPriority w:val="34"/>
    <w:qFormat/>
    <w:rsid w:val="00244E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cp:revision>
  <dcterms:created xsi:type="dcterms:W3CDTF">2018-05-08T08:37:00Z</dcterms:created>
  <dcterms:modified xsi:type="dcterms:W3CDTF">2018-05-10T08:57:00Z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